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jc w:val="center"/>
        <w:rPr>
          <w:rFonts w:ascii="Calibri" w:cs="Calibri" w:eastAsia="Calibri" w:hAnsi="Calibri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Čestné prohlášení k vyloučení dvojího financování.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Kód projektu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Název projektu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Hlavní příjemce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20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Další příjemci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20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Jako hlavní příjemce výše uvedeného projektu čestně prohlašuji, že žádný výdaj či jeho část v projektu není a nebude hrazena vícenásobně z několika zdrojů, tedy že nedochází k tzv. dvojímu financování ve smyslu metodických pokynů pro Národní plán obnovy na období 2021-2026.</w:t>
      </w:r>
    </w:p>
    <w:p w:rsidR="00000000" w:rsidDel="00000000" w:rsidP="00000000" w:rsidRDefault="00000000" w:rsidRPr="00000000" w14:paraId="0000000A">
      <w:pPr>
        <w:spacing w:after="20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Jsem si vědom skutečnosti, že dvojí financování je v rámci projektů podporovaných z Národního plánu obnovy nepřípustné, jeho případné prokázání je zásadním porušením podmínek poskytnutí podpory a je důvodem pro odnětí podpory. </w:t>
      </w:r>
    </w:p>
    <w:p w:rsidR="00000000" w:rsidDel="00000000" w:rsidP="00000000" w:rsidRDefault="00000000" w:rsidRPr="00000000" w14:paraId="0000000B">
      <w:pPr>
        <w:spacing w:after="20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Datum a místo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638175</wp:posOffset>
          </wp:positionV>
          <wp:extent cx="2213980" cy="661988"/>
          <wp:effectExtent b="0" l="0" r="0" t="0"/>
          <wp:wrapTopAndBottom distB="114300" distT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3980" cy="6619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4562475</wp:posOffset>
          </wp:positionH>
          <wp:positionV relativeFrom="paragraph">
            <wp:posOffset>-457196</wp:posOffset>
          </wp:positionV>
          <wp:extent cx="1440000" cy="144000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5xaxnFXquFPz53ANQ9Nhc1M5A==">CgMxLjAyCGguZ2pkZ3hzOAByITE1Q2hEaExpenR1YU1LakRLYUlkR0dENEwzM2tWWkdOdQ==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